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8"/>
        </w:rPr>
      </w:pPr>
    </w:p>
    <w:p>
      <w:pPr>
        <w:pStyle w:val="BodyText"/>
        <w:spacing w:before="91"/>
        <w:ind w:left="35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983406pt;margin-top:16.474825pt;width:658.95pt;height:325.1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8"/>
                    <w:gridCol w:w="1710"/>
                    <w:gridCol w:w="2092"/>
                    <w:gridCol w:w="1097"/>
                    <w:gridCol w:w="1818"/>
                    <w:gridCol w:w="1659"/>
                  </w:tblGrid>
                  <w:tr>
                    <w:trPr>
                      <w:trHeight w:val="814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before="63"/>
                          <w:ind w:left="186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Competency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line="252" w:lineRule="auto" w:before="92"/>
                          <w:ind w:left="348" w:hanging="26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1"/>
                            <w:sz w:val="21"/>
                          </w:rPr>
                          <w:t>Competency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Benchmark</w:t>
                        </w:r>
                      </w:p>
                      <w:p>
                        <w:pPr>
                          <w:pStyle w:val="TableParagraph"/>
                          <w:spacing w:line="190" w:lineRule="exact" w:before="5"/>
                          <w:ind w:left="344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(Generalist)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line="244" w:lineRule="auto" w:before="106"/>
                          <w:ind w:left="95" w:right="-5" w:firstLine="399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Competency Benchmark (Clinical</w:t>
                        </w:r>
                      </w:p>
                      <w:p>
                        <w:pPr>
                          <w:pStyle w:val="TableParagraph"/>
                          <w:spacing w:line="192" w:lineRule="exact" w:before="4"/>
                          <w:ind w:left="20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&amp;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Macro Practice)</w:t>
                        </w:r>
                      </w:p>
                    </w:tc>
                    <w:tc>
                      <w:tcPr>
                        <w:tcW w:w="4574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auto" w:before="121"/>
                          <w:ind w:left="1393" w:hanging="1293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Percentage of Students Achieving Benchmark, Baltimore Campus</w:t>
                        </w:r>
                      </w:p>
                    </w:tc>
                  </w:tr>
                  <w:tr>
                    <w:trPr>
                      <w:trHeight w:val="735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259" w:lineRule="auto" w:before="85"/>
                          <w:ind w:left="211" w:hanging="9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Generalist </w:t>
                        </w:r>
                        <w:r>
                          <w:rPr>
                            <w:w w:val="105"/>
                            <w:sz w:val="21"/>
                          </w:rPr>
                          <w:t>Practice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92"/>
                          <w:ind w:left="140" w:right="11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Clinical Practice</w:t>
                        </w:r>
                      </w:p>
                    </w:tc>
                    <w:tc>
                      <w:tcPr>
                        <w:tcW w:w="1659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119" w:right="13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Macro Practice</w:t>
                        </w:r>
                      </w:p>
                    </w:tc>
                  </w:tr>
                  <w:tr>
                    <w:trPr>
                      <w:trHeight w:val="627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252" w:lineRule="auto" w:before="20"/>
                          <w:ind w:left="176" w:firstLine="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I: Demonstrate Ethical and Professional Behavior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57" w:right="54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79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05" w:right="1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96.46%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8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96.30%</w:t>
                        </w:r>
                      </w:p>
                    </w:tc>
                    <w:tc>
                      <w:tcPr>
                        <w:tcW w:w="1659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7" w:righ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98.77%</w:t>
                        </w:r>
                      </w:p>
                    </w:tc>
                  </w:tr>
                  <w:tr>
                    <w:trPr>
                      <w:trHeight w:val="519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240" w:lineRule="atLeast" w:before="13"/>
                          <w:ind w:left="176" w:right="31" w:hanging="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2: Engage Diversity and Difference in Practice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57"/>
                          <w:ind w:left="657" w:right="56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171"/>
                          <w:ind w:right="80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79"/>
                          <w:ind w:left="205" w:right="1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96.28%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179"/>
                          <w:ind w:left="128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93.50%</w:t>
                        </w:r>
                      </w:p>
                    </w:tc>
                    <w:tc>
                      <w:tcPr>
                        <w:tcW w:w="1659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93"/>
                          <w:ind w:left="118" w:right="13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100%</w:t>
                        </w: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244" w:lineRule="auto" w:before="5"/>
                          <w:ind w:left="166" w:right="562" w:firstLine="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3: Advance Human Rights and Social, Economic, and Environmental Justice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50"/>
                          <w:ind w:left="657" w:right="56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157"/>
                          <w:ind w:right="80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64"/>
                          <w:ind w:left="205" w:right="1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89.99%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171"/>
                          <w:ind w:left="128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93.49%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179"/>
                          <w:ind w:left="444" w:right="48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94.92%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6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4: Engage In Practice-infonned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16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Research and Research-informed Practice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85"/>
                          <w:ind w:left="657" w:right="56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92"/>
                          <w:ind w:right="80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99"/>
                          <w:ind w:left="205" w:right="1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84.67%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106"/>
                          <w:ind w:left="115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90.87%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114"/>
                          <w:ind w:left="444" w:right="48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97.50%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6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5: Engage in Policy Practice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92"/>
                          <w:ind w:left="650" w:right="57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106"/>
                          <w:ind w:right="80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14"/>
                          <w:ind w:left="205" w:right="16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85.46%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121"/>
                          <w:ind w:left="114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90.36%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128"/>
                          <w:ind w:left="444" w:right="48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96.82%</w:t>
                        </w: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5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6: Engage with Individuals, Families,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15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Groups, Organizations, and C01mnunities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06"/>
                          <w:ind w:left="650" w:right="57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114"/>
                          <w:ind w:right="8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21"/>
                          <w:ind w:left="204" w:right="1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95.51%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128"/>
                          <w:ind w:left="114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96.28%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135"/>
                          <w:ind w:left="443" w:right="4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97.04%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132" w:lineRule="exact"/>
                          <w:ind w:left="15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7: Assess Individuals, Families,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5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Groups, Organizations, and Communities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34"/>
                          <w:ind w:left="642" w:right="57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49"/>
                          <w:ind w:right="8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56"/>
                          <w:ind w:left="204" w:right="1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91.02%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63"/>
                          <w:ind w:left="104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95.00%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70"/>
                          <w:ind w:left="442" w:right="4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94.87%</w:t>
                        </w:r>
                      </w:p>
                    </w:tc>
                  </w:tr>
                  <w:tr>
                    <w:trPr>
                      <w:trHeight w:val="519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117" w:lineRule="exact"/>
                          <w:ind w:left="15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8: Intervene with Individuals,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15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Families,</w:t>
                        </w:r>
                        <w:r>
                          <w:rPr>
                            <w:spacing w:val="-2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Groups,</w:t>
                        </w:r>
                        <w:r>
                          <w:rPr>
                            <w:spacing w:val="-2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Org_anizations,</w:t>
                        </w:r>
                        <w:r>
                          <w:rPr>
                            <w:spacing w:val="-3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spacing w:val="-3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Communities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20"/>
                          <w:ind w:left="635" w:right="57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34"/>
                          <w:ind w:right="81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42"/>
                          <w:ind w:left="191" w:right="1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92.42%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49"/>
                          <w:ind w:left="102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94.12%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56"/>
                          <w:ind w:left="442" w:right="4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97.66%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4768" w:type="dxa"/>
                      </w:tcPr>
                      <w:p>
                        <w:pPr>
                          <w:pStyle w:val="TableParagraph"/>
                          <w:spacing w:line="110" w:lineRule="exact"/>
                          <w:ind w:left="15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Competency 9: Evaluate Practice with</w:t>
                        </w:r>
                        <w:r>
                          <w:rPr>
                            <w:spacing w:val="-4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Individuals,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14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Families,</w:t>
                        </w:r>
                        <w:r>
                          <w:rPr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Groups,</w:t>
                        </w:r>
                        <w:r>
                          <w:rPr>
                            <w:spacing w:val="-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Organizations,</w:t>
                        </w:r>
                        <w:r>
                          <w:rPr>
                            <w:spacing w:val="-2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Communities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3"/>
                          <w:ind w:left="635" w:right="57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2092" w:type="dxa"/>
                      </w:tcPr>
                      <w:p>
                        <w:pPr>
                          <w:pStyle w:val="TableParagraph"/>
                          <w:spacing w:before="27"/>
                          <w:ind w:right="81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80%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34"/>
                          <w:ind w:left="197" w:right="1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87.68%</w:t>
                        </w: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spacing w:before="42"/>
                          <w:ind w:left="102" w:right="1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96.29%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49"/>
                          <w:ind w:left="429" w:right="4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97.14%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 w:val="0"/>
          <w:sz w:val="22"/>
        </w:rPr>
        <w:t>Table 1 </w:t>
      </w:r>
      <w:r>
        <w:rPr/>
        <w:t>Form AS 4 </w:t>
      </w:r>
      <w:r>
        <w:rPr>
          <w:sz w:val="22"/>
        </w:rPr>
        <w:t>(M)</w:t>
      </w:r>
      <w:r>
        <w:rPr>
          <w:i w:val="0"/>
          <w:sz w:val="22"/>
        </w:rPr>
        <w:t>· </w:t>
      </w:r>
      <w:r>
        <w:rPr/>
        <w:t>Assessment of Student Learning Outcomes, Part 1, Baltimore Campus (September, 2019)</w:t>
      </w:r>
    </w:p>
    <w:p>
      <w:pPr>
        <w:spacing w:after="0"/>
        <w:sectPr>
          <w:type w:val="continuous"/>
          <w:pgSz w:w="15840" w:h="12240" w:orient="landscape"/>
          <w:pgMar w:top="1140" w:bottom="280" w:left="1020" w:right="1160"/>
        </w:sectPr>
      </w:pPr>
    </w:p>
    <w:p>
      <w:pPr>
        <w:spacing w:line="240" w:lineRule="auto" w:before="10"/>
        <w:rPr>
          <w:i/>
          <w:sz w:val="22"/>
        </w:rPr>
      </w:pPr>
    </w:p>
    <w:p>
      <w:pPr>
        <w:pStyle w:val="BodyText"/>
        <w:spacing w:before="90" w:after="14"/>
        <w:ind w:left="365"/>
      </w:pPr>
      <w:r>
        <w:rPr>
          <w:i w:val="0"/>
          <w:sz w:val="21"/>
        </w:rPr>
        <w:t>Table 2. </w:t>
      </w:r>
      <w:r>
        <w:rPr/>
        <w:t>Form AS 4 (M): Assessment of Student Learning Outcomes, Part 2, Shady Grove Campus (September, 2019)</w:t>
      </w:r>
    </w:p>
    <w:tbl>
      <w:tblPr>
        <w:tblW w:w="0" w:type="auto"/>
        <w:jc w:val="left"/>
        <w:tblInd w:w="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1796"/>
        <w:gridCol w:w="2092"/>
        <w:gridCol w:w="1068"/>
        <w:gridCol w:w="1818"/>
        <w:gridCol w:w="1652"/>
      </w:tblGrid>
      <w:tr>
        <w:trPr>
          <w:trHeight w:val="923" w:hRule="atLeast"/>
        </w:trPr>
        <w:tc>
          <w:tcPr>
            <w:tcW w:w="4667" w:type="dxa"/>
          </w:tcPr>
          <w:p>
            <w:pPr>
              <w:pStyle w:val="TableParagraph"/>
              <w:spacing w:before="27"/>
              <w:ind w:left="164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Competency</w:t>
            </w:r>
          </w:p>
        </w:tc>
        <w:tc>
          <w:tcPr>
            <w:tcW w:w="1796" w:type="dxa"/>
          </w:tcPr>
          <w:p>
            <w:pPr>
              <w:pStyle w:val="TableParagraph"/>
              <w:spacing w:line="247" w:lineRule="auto" w:before="56"/>
              <w:ind w:left="380" w:right="264" w:hanging="2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Competency </w:t>
            </w:r>
            <w:r>
              <w:rPr>
                <w:b/>
                <w:w w:val="105"/>
                <w:sz w:val="21"/>
              </w:rPr>
              <w:t>Benchmark </w:t>
            </w:r>
            <w:r>
              <w:rPr>
                <w:b/>
                <w:sz w:val="21"/>
              </w:rPr>
              <w:t>(Generalist)</w:t>
            </w:r>
          </w:p>
        </w:tc>
        <w:tc>
          <w:tcPr>
            <w:tcW w:w="2092" w:type="dxa"/>
          </w:tcPr>
          <w:p>
            <w:pPr>
              <w:pStyle w:val="TableParagraph"/>
              <w:spacing w:line="247" w:lineRule="auto" w:before="63"/>
              <w:ind w:left="89" w:right="27" w:firstLine="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Competency Benchmark</w:t>
            </w:r>
            <w:r>
              <w:rPr>
                <w:b/>
                <w:spacing w:val="-19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(Clinical </w:t>
            </w:r>
            <w:r>
              <w:rPr>
                <w:w w:val="105"/>
                <w:sz w:val="21"/>
              </w:rPr>
              <w:t>&amp; </w:t>
            </w:r>
            <w:r>
              <w:rPr>
                <w:b/>
                <w:w w:val="105"/>
                <w:sz w:val="21"/>
              </w:rPr>
              <w:t>Macro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Practice)</w:t>
            </w:r>
          </w:p>
        </w:tc>
        <w:tc>
          <w:tcPr>
            <w:tcW w:w="4538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auto" w:before="70"/>
              <w:ind w:left="1236" w:hanging="114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Percentage of Students Achieving Benchmark, Shady Grove Campus</w:t>
            </w:r>
          </w:p>
        </w:tc>
      </w:tr>
      <w:tr>
        <w:trPr>
          <w:trHeight w:val="519" w:hRule="atLeast"/>
        </w:trPr>
        <w:tc>
          <w:tcPr>
            <w:tcW w:w="466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50" w:lineRule="atLeast" w:before="55"/>
              <w:ind w:left="205" w:hanging="91"/>
              <w:jc w:val="left"/>
              <w:rPr>
                <w:sz w:val="21"/>
              </w:rPr>
            </w:pPr>
            <w:r>
              <w:rPr>
                <w:sz w:val="21"/>
              </w:rPr>
              <w:t>Generalist </w:t>
            </w:r>
            <w:r>
              <w:rPr>
                <w:w w:val="105"/>
                <w:sz w:val="21"/>
              </w:rPr>
              <w:t>Practice</w:t>
            </w:r>
          </w:p>
        </w:tc>
        <w:tc>
          <w:tcPr>
            <w:tcW w:w="1818" w:type="dxa"/>
          </w:tcPr>
          <w:p>
            <w:pPr>
              <w:pStyle w:val="TableParagraph"/>
              <w:spacing w:before="70"/>
              <w:ind w:left="162" w:right="92"/>
              <w:rPr>
                <w:sz w:val="21"/>
              </w:rPr>
            </w:pPr>
            <w:r>
              <w:rPr>
                <w:w w:val="105"/>
                <w:sz w:val="21"/>
              </w:rPr>
              <w:t>Clinical Practice</w:t>
            </w:r>
          </w:p>
        </w:tc>
        <w:tc>
          <w:tcPr>
            <w:tcW w:w="165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82" w:right="56"/>
              <w:rPr>
                <w:sz w:val="21"/>
              </w:rPr>
            </w:pPr>
            <w:r>
              <w:rPr>
                <w:w w:val="105"/>
                <w:sz w:val="21"/>
              </w:rPr>
              <w:t>Macro Practice*</w:t>
            </w:r>
          </w:p>
        </w:tc>
      </w:tr>
      <w:tr>
        <w:trPr>
          <w:trHeight w:val="591" w:hRule="atLeast"/>
        </w:trPr>
        <w:tc>
          <w:tcPr>
            <w:tcW w:w="4667" w:type="dxa"/>
          </w:tcPr>
          <w:p>
            <w:pPr>
              <w:pStyle w:val="TableParagraph"/>
              <w:spacing w:line="244" w:lineRule="auto"/>
              <w:ind w:left="147" w:right="907" w:firstLine="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1: Demonstrate Ethical and Professional Behavior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6"/>
              <w:ind w:left="693" w:right="599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93"/>
              <w:ind w:right="799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5"/>
              <w:jc w:val="left"/>
              <w:rPr>
                <w:i/>
                <w:sz w:val="17"/>
              </w:rPr>
            </w:pPr>
          </w:p>
          <w:p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sz w:val="21"/>
              </w:rPr>
              <w:t>97.94%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162" w:right="102"/>
              <w:rPr>
                <w:sz w:val="21"/>
              </w:rPr>
            </w:pPr>
            <w:r>
              <w:rPr>
                <w:sz w:val="21"/>
              </w:rPr>
              <w:t>98.00%</w:t>
            </w:r>
          </w:p>
        </w:tc>
        <w:tc>
          <w:tcPr>
            <w:tcW w:w="165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14"/>
              <w:ind w:left="34" w:right="56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511" w:hRule="atLeast"/>
        </w:trPr>
        <w:tc>
          <w:tcPr>
            <w:tcW w:w="4667" w:type="dxa"/>
          </w:tcPr>
          <w:p>
            <w:pPr>
              <w:pStyle w:val="TableParagraph"/>
              <w:spacing w:line="240" w:lineRule="atLeast" w:before="13"/>
              <w:ind w:left="152" w:right="46" w:hanging="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2: Engage Diversity and Difference in Practice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57"/>
              <w:ind w:left="693" w:right="607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64"/>
              <w:ind w:right="799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71"/>
              <w:ind w:right="17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97.92%</w:t>
            </w:r>
          </w:p>
        </w:tc>
        <w:tc>
          <w:tcPr>
            <w:tcW w:w="1818" w:type="dxa"/>
          </w:tcPr>
          <w:p>
            <w:pPr>
              <w:pStyle w:val="TableParagraph"/>
              <w:spacing w:before="179"/>
              <w:ind w:left="162" w:right="102"/>
              <w:rPr>
                <w:sz w:val="21"/>
              </w:rPr>
            </w:pPr>
            <w:r>
              <w:rPr>
                <w:sz w:val="21"/>
              </w:rPr>
              <w:t>98.00%</w:t>
            </w:r>
          </w:p>
        </w:tc>
        <w:tc>
          <w:tcPr>
            <w:tcW w:w="165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5"/>
              <w:ind w:left="34" w:right="56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511" w:hRule="atLeast"/>
        </w:trPr>
        <w:tc>
          <w:tcPr>
            <w:tcW w:w="4667" w:type="dxa"/>
          </w:tcPr>
          <w:p>
            <w:pPr>
              <w:pStyle w:val="TableParagraph"/>
              <w:spacing w:line="250" w:lineRule="atLeast" w:before="4"/>
              <w:ind w:left="145" w:right="46" w:firstLine="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3: Advance Human Rights and Social, Economic, and Enviromnental Justice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57"/>
              <w:ind w:left="693" w:right="614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64"/>
              <w:ind w:right="806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71"/>
              <w:ind w:right="17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92.51%</w:t>
            </w:r>
          </w:p>
        </w:tc>
        <w:tc>
          <w:tcPr>
            <w:tcW w:w="1818" w:type="dxa"/>
          </w:tcPr>
          <w:p>
            <w:pPr>
              <w:pStyle w:val="TableParagraph"/>
              <w:spacing w:before="179"/>
              <w:ind w:left="162" w:right="103"/>
              <w:rPr>
                <w:sz w:val="21"/>
              </w:rPr>
            </w:pPr>
            <w:r>
              <w:rPr>
                <w:sz w:val="21"/>
              </w:rPr>
              <w:t>98.00%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76"/>
              <w:ind w:left="589" w:right="57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110"/>
                <w:sz w:val="22"/>
              </w:rPr>
              <w:t>NIA</w:t>
            </w:r>
          </w:p>
        </w:tc>
      </w:tr>
      <w:tr>
        <w:trPr>
          <w:trHeight w:val="511" w:hRule="atLeast"/>
        </w:trPr>
        <w:tc>
          <w:tcPr>
            <w:tcW w:w="4667" w:type="dxa"/>
          </w:tcPr>
          <w:p>
            <w:pPr>
              <w:pStyle w:val="TableParagraph"/>
              <w:spacing w:line="250" w:lineRule="atLeast" w:before="4"/>
              <w:ind w:left="140" w:right="558" w:firstLine="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4: Engage In Practice-infmmed Research and Research-informed Practice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57"/>
              <w:ind w:left="693" w:right="614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64"/>
              <w:ind w:right="806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71"/>
              <w:ind w:right="17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92.62%</w:t>
            </w:r>
          </w:p>
        </w:tc>
        <w:tc>
          <w:tcPr>
            <w:tcW w:w="1818" w:type="dxa"/>
          </w:tcPr>
          <w:p>
            <w:pPr>
              <w:pStyle w:val="TableParagraph"/>
              <w:spacing w:before="179"/>
              <w:ind w:left="162" w:right="103"/>
              <w:rPr>
                <w:sz w:val="21"/>
              </w:rPr>
            </w:pPr>
            <w:r>
              <w:rPr>
                <w:sz w:val="21"/>
              </w:rPr>
              <w:t>90.74%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76"/>
              <w:ind w:left="559" w:right="589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NIA</w:t>
            </w:r>
          </w:p>
        </w:tc>
      </w:tr>
      <w:tr>
        <w:trPr>
          <w:trHeight w:val="504" w:hRule="atLeast"/>
        </w:trPr>
        <w:tc>
          <w:tcPr>
            <w:tcW w:w="4667" w:type="dxa"/>
          </w:tcPr>
          <w:p>
            <w:pPr>
              <w:pStyle w:val="TableParagraph"/>
              <w:spacing w:before="13"/>
              <w:ind w:left="14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5: Engage in Policy Practice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50"/>
              <w:ind w:left="693" w:right="614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57"/>
              <w:ind w:right="806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64"/>
              <w:ind w:right="170"/>
              <w:jc w:val="right"/>
              <w:rPr>
                <w:sz w:val="21"/>
              </w:rPr>
            </w:pPr>
            <w:r>
              <w:rPr>
                <w:sz w:val="21"/>
              </w:rPr>
              <w:t>87.83%</w:t>
            </w:r>
          </w:p>
        </w:tc>
        <w:tc>
          <w:tcPr>
            <w:tcW w:w="1818" w:type="dxa"/>
          </w:tcPr>
          <w:p>
            <w:pPr>
              <w:pStyle w:val="TableParagraph"/>
              <w:spacing w:before="164"/>
              <w:ind w:left="160" w:right="114"/>
              <w:rPr>
                <w:sz w:val="21"/>
              </w:rPr>
            </w:pPr>
            <w:r>
              <w:rPr>
                <w:sz w:val="21"/>
              </w:rPr>
              <w:t>93.93%</w:t>
            </w:r>
          </w:p>
        </w:tc>
        <w:tc>
          <w:tcPr>
            <w:tcW w:w="165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8"/>
              <w:ind w:left="21" w:right="56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764" w:hRule="atLeast"/>
        </w:trPr>
        <w:tc>
          <w:tcPr>
            <w:tcW w:w="4667" w:type="dxa"/>
          </w:tcPr>
          <w:p>
            <w:pPr>
              <w:pStyle w:val="TableParagraph"/>
              <w:spacing w:before="5"/>
              <w:ind w:left="13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6: Engage with Individuals,</w:t>
            </w:r>
          </w:p>
          <w:p>
            <w:pPr>
              <w:pStyle w:val="TableParagraph"/>
              <w:spacing w:line="240" w:lineRule="atLeast" w:before="12"/>
              <w:ind w:left="136" w:right="907" w:hanging="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Families, Groups, Organizations, and Communities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left="686" w:right="621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4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right="814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right="166"/>
              <w:jc w:val="right"/>
              <w:rPr>
                <w:sz w:val="21"/>
              </w:rPr>
            </w:pPr>
            <w:r>
              <w:rPr>
                <w:sz w:val="21"/>
              </w:rPr>
              <w:t>99.05%</w:t>
            </w:r>
          </w:p>
        </w:tc>
        <w:tc>
          <w:tcPr>
            <w:tcW w:w="1818" w:type="dxa"/>
          </w:tcPr>
          <w:p>
            <w:pPr>
              <w:pStyle w:val="TableParagraph"/>
              <w:spacing w:before="6"/>
              <w:jc w:val="left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160" w:right="114"/>
              <w:rPr>
                <w:sz w:val="21"/>
              </w:rPr>
            </w:pPr>
            <w:r>
              <w:rPr>
                <w:sz w:val="21"/>
              </w:rPr>
              <w:t>97.50%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"/>
              <w:jc w:val="left"/>
              <w:rPr>
                <w:i/>
                <w:sz w:val="26"/>
              </w:rPr>
            </w:pPr>
          </w:p>
          <w:p>
            <w:pPr>
              <w:pStyle w:val="TableParagraph"/>
              <w:ind w:left="532" w:right="589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519" w:hRule="atLeast"/>
        </w:trPr>
        <w:tc>
          <w:tcPr>
            <w:tcW w:w="4667" w:type="dxa"/>
          </w:tcPr>
          <w:p>
            <w:pPr>
              <w:pStyle w:val="TableParagraph"/>
              <w:spacing w:line="244" w:lineRule="auto" w:before="5"/>
              <w:ind w:left="136" w:hanging="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7: Assess Individuals, Families, Groups, Organizations, and Communities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50"/>
              <w:ind w:left="686" w:right="621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57"/>
              <w:ind w:right="814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164"/>
              <w:ind w:right="17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95.86%</w:t>
            </w:r>
          </w:p>
        </w:tc>
        <w:tc>
          <w:tcPr>
            <w:tcW w:w="1818" w:type="dxa"/>
          </w:tcPr>
          <w:p>
            <w:pPr>
              <w:pStyle w:val="TableParagraph"/>
              <w:spacing w:before="164"/>
              <w:ind w:left="159" w:right="114"/>
              <w:rPr>
                <w:sz w:val="21"/>
              </w:rPr>
            </w:pPr>
            <w:r>
              <w:rPr>
                <w:sz w:val="21"/>
              </w:rPr>
              <w:t>93.15%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71"/>
              <w:ind w:left="539" w:right="589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771" w:hRule="atLeast"/>
        </w:trPr>
        <w:tc>
          <w:tcPr>
            <w:tcW w:w="4667" w:type="dxa"/>
          </w:tcPr>
          <w:p>
            <w:pPr>
              <w:pStyle w:val="TableParagraph"/>
              <w:spacing w:line="252" w:lineRule="auto"/>
              <w:ind w:left="133" w:firstLine="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8: Intervene with Individuals, Families, Groups, Organizations, and</w:t>
            </w:r>
          </w:p>
          <w:p>
            <w:pPr>
              <w:pStyle w:val="TableParagraph"/>
              <w:spacing w:line="240" w:lineRule="exact"/>
              <w:ind w:left="1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Communities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left="686" w:right="621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8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right="814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4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right="17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95.07%</w:t>
            </w:r>
          </w:p>
        </w:tc>
        <w:tc>
          <w:tcPr>
            <w:tcW w:w="1818" w:type="dxa"/>
          </w:tcPr>
          <w:p>
            <w:pPr>
              <w:pStyle w:val="TableParagraph"/>
              <w:spacing w:before="4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left="159" w:right="114"/>
              <w:rPr>
                <w:sz w:val="21"/>
              </w:rPr>
            </w:pPr>
            <w:r>
              <w:rPr>
                <w:sz w:val="21"/>
              </w:rPr>
              <w:t>94.45%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left="539" w:right="589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  <w:tr>
        <w:trPr>
          <w:trHeight w:val="764" w:hRule="atLeast"/>
        </w:trPr>
        <w:tc>
          <w:tcPr>
            <w:tcW w:w="4667" w:type="dxa"/>
          </w:tcPr>
          <w:p>
            <w:pPr>
              <w:pStyle w:val="TableParagraph"/>
              <w:spacing w:line="226" w:lineRule="exact"/>
              <w:ind w:left="1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Competency 9: Evaluate Practice with</w:t>
            </w:r>
          </w:p>
          <w:p>
            <w:pPr>
              <w:pStyle w:val="TableParagraph"/>
              <w:spacing w:line="244" w:lineRule="auto" w:before="18"/>
              <w:ind w:left="128" w:hanging="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Individuals, Families, Groups, Organizations, and Communities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5"/>
              <w:jc w:val="left"/>
              <w:rPr>
                <w:i/>
                <w:sz w:val="22"/>
              </w:rPr>
            </w:pPr>
          </w:p>
          <w:p>
            <w:pPr>
              <w:pStyle w:val="TableParagraph"/>
              <w:ind w:left="672" w:right="621"/>
              <w:rPr>
                <w:sz w:val="21"/>
              </w:rPr>
            </w:pPr>
            <w:r>
              <w:rPr>
                <w:w w:val="105"/>
                <w:sz w:val="21"/>
              </w:rPr>
              <w:t>80%</w:t>
            </w:r>
          </w:p>
        </w:tc>
        <w:tc>
          <w:tcPr>
            <w:tcW w:w="2092" w:type="dxa"/>
          </w:tcPr>
          <w:p>
            <w:pPr>
              <w:pStyle w:val="TableParagraph"/>
              <w:spacing w:before="1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right="814"/>
              <w:jc w:val="right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  <w:tc>
          <w:tcPr>
            <w:tcW w:w="1068" w:type="dxa"/>
          </w:tcPr>
          <w:p>
            <w:pPr>
              <w:pStyle w:val="TableParagraph"/>
              <w:spacing w:before="8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right="187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91.52%</w:t>
            </w:r>
          </w:p>
        </w:tc>
        <w:tc>
          <w:tcPr>
            <w:tcW w:w="1818" w:type="dxa"/>
          </w:tcPr>
          <w:p>
            <w:pPr>
              <w:pStyle w:val="TableParagraph"/>
              <w:spacing w:before="4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left="146" w:right="114"/>
              <w:rPr>
                <w:sz w:val="21"/>
              </w:rPr>
            </w:pPr>
            <w:r>
              <w:rPr>
                <w:sz w:val="21"/>
              </w:rPr>
              <w:t>97.00%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ind w:left="532" w:right="589"/>
              <w:rPr>
                <w:rFonts w:ascii="Arial-BoldItalicMT"/>
                <w:b/>
                <w:i/>
                <w:sz w:val="21"/>
              </w:rPr>
            </w:pPr>
            <w:r>
              <w:rPr>
                <w:rFonts w:ascii="Arial-BoldItalicMT"/>
                <w:b/>
                <w:i/>
                <w:sz w:val="21"/>
              </w:rPr>
              <w:t>NIA</w:t>
            </w:r>
          </w:p>
        </w:tc>
      </w:tr>
    </w:tbl>
    <w:sectPr>
      <w:pgSz w:w="15840" w:h="12240" w:orient="landscape"/>
      <w:pgMar w:top="1140" w:bottom="280" w:left="10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2020-01-27T14:21:35Z</dcterms:created>
  <dcterms:modified xsi:type="dcterms:W3CDTF">2020-01-27T14:21:35Z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SAVIN MP C6503</vt:lpwstr>
  </property>
  <property fmtid="{D5CDD505-2E9C-101B-9397-08002B2CF9AE}" pid="4" name="LastSaved">
    <vt:filetime>2020-01-27T00:00:00Z</vt:filetime>
  </property>
</Properties>
</file>